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D9C1" w14:textId="1A9F09ED" w:rsidR="008D1E22" w:rsidRPr="000451D2" w:rsidRDefault="00686C36" w:rsidP="008D1E22">
      <w:pPr>
        <w:jc w:val="center"/>
      </w:pPr>
      <w:r>
        <w:rPr>
          <w:b/>
          <w:bCs/>
        </w:rPr>
        <w:t>Community Engagement and Front of House Officer</w:t>
      </w:r>
      <w:r w:rsidR="005D0216">
        <w:rPr>
          <w:b/>
          <w:bCs/>
        </w:rPr>
        <w:t xml:space="preserve"> (Electorate Officer </w:t>
      </w:r>
      <w:r>
        <w:rPr>
          <w:b/>
          <w:bCs/>
        </w:rPr>
        <w:t>A</w:t>
      </w:r>
      <w:r w:rsidR="005D0216">
        <w:rPr>
          <w:b/>
          <w:bCs/>
        </w:rPr>
        <w:t>)</w:t>
      </w:r>
    </w:p>
    <w:p w14:paraId="2FCA969C" w14:textId="227FD7CD" w:rsidR="008D1E22" w:rsidRPr="000451D2" w:rsidRDefault="005D0216" w:rsidP="008D1E22">
      <w:pPr>
        <w:jc w:val="center"/>
      </w:pPr>
      <w:r>
        <w:rPr>
          <w:b/>
          <w:bCs/>
        </w:rPr>
        <w:t>Senator the Hon Bridget McKenzie</w:t>
      </w:r>
    </w:p>
    <w:p w14:paraId="0A009BD1" w14:textId="6A6B6E66" w:rsidR="008D1E22" w:rsidRPr="000451D2" w:rsidRDefault="008D1E22" w:rsidP="008D1E22">
      <w:r w:rsidRPr="000451D2">
        <w:t>The office of</w:t>
      </w:r>
      <w:r w:rsidR="00D93E10">
        <w:t xml:space="preserve"> Senator the Hon Bridget McKenzie</w:t>
      </w:r>
      <w:r w:rsidR="00BE5449">
        <w:t xml:space="preserve"> </w:t>
      </w:r>
      <w:r w:rsidRPr="000451D2">
        <w:t xml:space="preserve">is seeking applications for a </w:t>
      </w:r>
      <w:r w:rsidR="00A2330D">
        <w:t xml:space="preserve">full-time ongoing </w:t>
      </w:r>
      <w:r w:rsidR="00686C36">
        <w:t>Community Engagement and Front of House</w:t>
      </w:r>
      <w:r w:rsidR="00A2330D">
        <w:t xml:space="preserve"> Officer (Electorate Officer </w:t>
      </w:r>
      <w:r w:rsidR="00686C36">
        <w:t>A</w:t>
      </w:r>
      <w:r w:rsidR="00A2330D">
        <w:t xml:space="preserve">), based in </w:t>
      </w:r>
      <w:r w:rsidR="00686C36">
        <w:t>the</w:t>
      </w:r>
      <w:r w:rsidR="003A37C4">
        <w:t xml:space="preserve"> electorate office in</w:t>
      </w:r>
      <w:r w:rsidR="00686C36">
        <w:t xml:space="preserve"> </w:t>
      </w:r>
      <w:r w:rsidR="009833DD">
        <w:t>Wodonga, VIC</w:t>
      </w:r>
      <w:r w:rsidRPr="000451D2">
        <w:rPr>
          <w:rFonts w:ascii="Arial" w:hAnsi="Arial" w:cs="Arial"/>
          <w:i/>
          <w:iCs/>
        </w:rPr>
        <w:t>​</w:t>
      </w:r>
      <w:r w:rsidRPr="000451D2">
        <w:t>.  </w:t>
      </w:r>
    </w:p>
    <w:p w14:paraId="54665CCB" w14:textId="1B77E674" w:rsidR="008D1E22" w:rsidRPr="000451D2" w:rsidRDefault="008D1E22" w:rsidP="008D1E22">
      <w:r w:rsidRPr="000451D2">
        <w:rPr>
          <w:b/>
          <w:bCs/>
        </w:rPr>
        <w:t xml:space="preserve">Position Overview </w:t>
      </w:r>
    </w:p>
    <w:p w14:paraId="38F9BD8C" w14:textId="365571D9" w:rsidR="005B7984" w:rsidRDefault="00E77703" w:rsidP="005B7984">
      <w:r>
        <w:t xml:space="preserve">The office of Senator the Hon Bridget McKenzie is </w:t>
      </w:r>
      <w:r w:rsidR="004B0C60">
        <w:t>looking for a</w:t>
      </w:r>
      <w:r w:rsidR="00332965">
        <w:t xml:space="preserve"> person with experience in customer service, community engagement or public service to be </w:t>
      </w:r>
      <w:r w:rsidR="005B7984">
        <w:t xml:space="preserve">the first point of contact for constituents engaging with the </w:t>
      </w:r>
      <w:r w:rsidR="00332965">
        <w:t>S</w:t>
      </w:r>
      <w:r w:rsidR="005B7984">
        <w:t>enator</w:t>
      </w:r>
      <w:r w:rsidR="00332965">
        <w:t>’</w:t>
      </w:r>
      <w:r w:rsidR="005B7984">
        <w:t>s electorate office. The role is responsible for delivering a professional, respectful, and empathetic front-of-house service while supporting community engagement activities, and constituent casework intake, and electorate outreach.</w:t>
      </w:r>
    </w:p>
    <w:p w14:paraId="5FE98950" w14:textId="77777777" w:rsidR="005B7984" w:rsidRDefault="005B7984" w:rsidP="005B7984">
      <w:r>
        <w:t>The position plays a critical role in building trust between the Senator and the community by ensuring constituents feel heard, supported, and connected to Commonwealth services, parliamentary processes, and local engagement opportunities.</w:t>
      </w:r>
    </w:p>
    <w:p w14:paraId="15F6299B" w14:textId="4685F5D5" w:rsidR="000D5ECF" w:rsidRPr="009833DD" w:rsidRDefault="005B7984" w:rsidP="00332965">
      <w:r>
        <w:t>Travel within the electorate may be required regularly, with work often outside standard hours and on weekends in recognition of the dynamic nature of parliamentary and electorate office work.</w:t>
      </w:r>
    </w:p>
    <w:p w14:paraId="1EE905C4" w14:textId="5F81104E" w:rsidR="008D1E22" w:rsidRDefault="008D1E22" w:rsidP="008D1E22">
      <w:r w:rsidRPr="000451D2">
        <w:rPr>
          <w:b/>
          <w:bCs/>
        </w:rPr>
        <w:t>The key duties of the position include but are not limited to</w:t>
      </w:r>
      <w:r w:rsidRPr="000451D2">
        <w:t xml:space="preserve">: </w:t>
      </w:r>
    </w:p>
    <w:p w14:paraId="4480C2CD" w14:textId="23C46484" w:rsidR="00F20F12" w:rsidRDefault="00F20F12" w:rsidP="00297615">
      <w:pPr>
        <w:pStyle w:val="ListParagraph"/>
        <w:numPr>
          <w:ilvl w:val="0"/>
          <w:numId w:val="33"/>
        </w:numPr>
      </w:pPr>
      <w:r>
        <w:t xml:space="preserve">Provide </w:t>
      </w:r>
      <w:r w:rsidR="005F3C72">
        <w:t>a</w:t>
      </w:r>
      <w:r>
        <w:t xml:space="preserve"> welcoming, respectful front-of-house service consistent with parliamentary and ethical standards</w:t>
      </w:r>
      <w:r w:rsidR="00297615">
        <w:t xml:space="preserve">, as the </w:t>
      </w:r>
      <w:r w:rsidR="00E74FE4">
        <w:t>primary point of contact for constituents attending or contacting the electorate office.</w:t>
      </w:r>
    </w:p>
    <w:p w14:paraId="4214626C" w14:textId="77777777" w:rsidR="00F74EAE" w:rsidRDefault="00F74EAE" w:rsidP="00F74EAE">
      <w:pPr>
        <w:pStyle w:val="ListParagraph"/>
        <w:numPr>
          <w:ilvl w:val="0"/>
          <w:numId w:val="33"/>
        </w:numPr>
      </w:pPr>
      <w:r>
        <w:t>Handle difficult or distressed constituents calmly and professionally, escalating matters where required.</w:t>
      </w:r>
    </w:p>
    <w:p w14:paraId="29B3F856" w14:textId="77777777" w:rsidR="00F20F12" w:rsidRDefault="00F20F12" w:rsidP="00297615">
      <w:pPr>
        <w:pStyle w:val="ListParagraph"/>
        <w:numPr>
          <w:ilvl w:val="0"/>
          <w:numId w:val="33"/>
        </w:numPr>
      </w:pPr>
      <w:r>
        <w:t>Maintain accurate records of constituent interactions (feedback) in line with privacy, confidentiality, and record-keeping requirements.</w:t>
      </w:r>
    </w:p>
    <w:p w14:paraId="5341AF38" w14:textId="5F843BCC" w:rsidR="00F20F12" w:rsidRDefault="00F20F12" w:rsidP="00297615">
      <w:pPr>
        <w:pStyle w:val="ListParagraph"/>
        <w:numPr>
          <w:ilvl w:val="0"/>
          <w:numId w:val="33"/>
        </w:numPr>
      </w:pPr>
      <w:r>
        <w:t xml:space="preserve">Work with the Constituent Manager to </w:t>
      </w:r>
      <w:r w:rsidR="001D0B2A">
        <w:t xml:space="preserve">receive, record and </w:t>
      </w:r>
      <w:r>
        <w:t xml:space="preserve">triage constituent contact and </w:t>
      </w:r>
      <w:r w:rsidR="001D0B2A">
        <w:t>refer them appropriately to casework staff or advisers, including sensitive or complex matters.</w:t>
      </w:r>
    </w:p>
    <w:p w14:paraId="242DD022" w14:textId="77777777" w:rsidR="00B31577" w:rsidRDefault="00B31577" w:rsidP="00B31577">
      <w:pPr>
        <w:pStyle w:val="ListParagraph"/>
        <w:numPr>
          <w:ilvl w:val="0"/>
          <w:numId w:val="33"/>
        </w:numPr>
      </w:pPr>
      <w:r>
        <w:t>Assist with identifying local opportunities, projects and issues and s</w:t>
      </w:r>
      <w:r w:rsidR="00042756">
        <w:t>upport the planning and delivery of community engagement activities, including but not limited to community forums, school visits, stakeholder meetings, and electorate events in line with the strategic plan</w:t>
      </w:r>
      <w:r>
        <w:t>.</w:t>
      </w:r>
      <w:r w:rsidR="001D0B2A">
        <w:t xml:space="preserve"> </w:t>
      </w:r>
    </w:p>
    <w:p w14:paraId="7B43D85D" w14:textId="03839532" w:rsidR="00B31577" w:rsidRDefault="00B31577" w:rsidP="00B31577">
      <w:pPr>
        <w:pStyle w:val="ListParagraph"/>
        <w:numPr>
          <w:ilvl w:val="0"/>
          <w:numId w:val="33"/>
        </w:numPr>
      </w:pPr>
      <w:r>
        <w:t xml:space="preserve">Professionally represent the Senator and electorate office </w:t>
      </w:r>
      <w:r w:rsidR="001D0B2A">
        <w:t>with community organisations, local councils, schools, and not-for-profit groups</w:t>
      </w:r>
      <w:r>
        <w:t>.</w:t>
      </w:r>
    </w:p>
    <w:p w14:paraId="665CA4FD" w14:textId="6FE0BA9C" w:rsidR="00F7191C" w:rsidRDefault="00F7191C" w:rsidP="00297615">
      <w:pPr>
        <w:pStyle w:val="ListParagraph"/>
        <w:numPr>
          <w:ilvl w:val="0"/>
          <w:numId w:val="33"/>
        </w:numPr>
      </w:pPr>
      <w:r>
        <w:t>Assist with general electorate office administration, including correspondence, document preparation, data entry</w:t>
      </w:r>
      <w:r w:rsidR="00576731">
        <w:t xml:space="preserve">, </w:t>
      </w:r>
      <w:r>
        <w:t>filing, and workflow processes to ensure efficient service delivery.</w:t>
      </w:r>
    </w:p>
    <w:p w14:paraId="0B3278B9" w14:textId="04D4EA68" w:rsidR="00F7191C" w:rsidRDefault="00F7191C" w:rsidP="00297615">
      <w:pPr>
        <w:pStyle w:val="ListParagraph"/>
        <w:numPr>
          <w:ilvl w:val="0"/>
          <w:numId w:val="33"/>
        </w:numPr>
      </w:pPr>
      <w:r>
        <w:t>Comply with all parliamentary, workplace health and safety, and security requirements.</w:t>
      </w:r>
    </w:p>
    <w:p w14:paraId="1954ED63" w14:textId="3A90E418" w:rsidR="00042756" w:rsidRDefault="00F7191C" w:rsidP="00297615">
      <w:pPr>
        <w:pStyle w:val="ListParagraph"/>
        <w:numPr>
          <w:ilvl w:val="0"/>
          <w:numId w:val="33"/>
        </w:numPr>
      </w:pPr>
      <w:r>
        <w:t xml:space="preserve">Uphold confidentiality, impartiality, and professionalism </w:t>
      </w:r>
      <w:proofErr w:type="gramStart"/>
      <w:r>
        <w:t>at all times</w:t>
      </w:r>
      <w:proofErr w:type="gramEnd"/>
      <w:r>
        <w:t>.</w:t>
      </w:r>
    </w:p>
    <w:p w14:paraId="7B32AB12" w14:textId="77777777" w:rsidR="00BA43D9" w:rsidRDefault="00BA43D9" w:rsidP="00BA43D9">
      <w:pPr>
        <w:rPr>
          <w:b/>
          <w:bCs/>
        </w:rPr>
      </w:pPr>
      <w:r w:rsidRPr="000451D2">
        <w:rPr>
          <w:b/>
          <w:bCs/>
        </w:rPr>
        <w:t>The ideal applicant should possess the following skills, qualifications, and experience</w:t>
      </w:r>
      <w:r>
        <w:rPr>
          <w:b/>
          <w:bCs/>
        </w:rPr>
        <w:t>:</w:t>
      </w:r>
    </w:p>
    <w:p w14:paraId="2D78017E" w14:textId="77777777" w:rsidR="005B6AA2" w:rsidRDefault="005B6AA2" w:rsidP="00FE770C">
      <w:pPr>
        <w:pStyle w:val="ListParagraph"/>
        <w:numPr>
          <w:ilvl w:val="0"/>
          <w:numId w:val="34"/>
        </w:numPr>
      </w:pPr>
      <w:r>
        <w:t>Relevant experience in customer service, community engagement, administration, or public service (formal qualifications desirable but not essential).</w:t>
      </w:r>
    </w:p>
    <w:p w14:paraId="6E0747A3" w14:textId="019EF8C3" w:rsidR="008C7F94" w:rsidRDefault="005B6AA2" w:rsidP="008C7F94">
      <w:pPr>
        <w:pStyle w:val="ListParagraph"/>
        <w:numPr>
          <w:ilvl w:val="0"/>
          <w:numId w:val="34"/>
        </w:numPr>
      </w:pPr>
      <w:r>
        <w:t>Strong interpersonal and communication skills, with the ability to engage</w:t>
      </w:r>
      <w:r w:rsidR="00C862F2">
        <w:t xml:space="preserve"> </w:t>
      </w:r>
      <w:r>
        <w:t xml:space="preserve">respectfully with people from diverse </w:t>
      </w:r>
      <w:proofErr w:type="gramStart"/>
      <w:r>
        <w:t>backgrounds</w:t>
      </w:r>
      <w:r w:rsidR="00B04165">
        <w:t>, and</w:t>
      </w:r>
      <w:proofErr w:type="gramEnd"/>
      <w:r w:rsidR="00B04165">
        <w:t xml:space="preserve"> remain calm and resilient under pressure. </w:t>
      </w:r>
    </w:p>
    <w:p w14:paraId="560DADED" w14:textId="17205709" w:rsidR="005B6AA2" w:rsidRDefault="005B6AA2" w:rsidP="00FE770C">
      <w:pPr>
        <w:pStyle w:val="ListParagraph"/>
        <w:numPr>
          <w:ilvl w:val="0"/>
          <w:numId w:val="34"/>
        </w:numPr>
      </w:pPr>
      <w:r>
        <w:t>High level of professionalism, discretion, and integrity, particularly when handling sensitive information (</w:t>
      </w:r>
      <w:r w:rsidR="008C7F94">
        <w:t>a</w:t>
      </w:r>
      <w:r>
        <w:t>bility to maintain confidentiality and privacy is non-negotiable)</w:t>
      </w:r>
      <w:r w:rsidR="008C7F94">
        <w:t>.</w:t>
      </w:r>
    </w:p>
    <w:p w14:paraId="50DED9E3" w14:textId="77777777" w:rsidR="00B04165" w:rsidRDefault="00B04165" w:rsidP="00B04165">
      <w:pPr>
        <w:pStyle w:val="ListParagraph"/>
        <w:numPr>
          <w:ilvl w:val="0"/>
          <w:numId w:val="34"/>
        </w:numPr>
      </w:pPr>
      <w:r>
        <w:t>Sound judgement and ability to triage issues appropriately, to manage competing priorities in a fast-paced, public-facing environment.</w:t>
      </w:r>
    </w:p>
    <w:p w14:paraId="7E1F9B32" w14:textId="787ABD64" w:rsidR="00B04165" w:rsidRDefault="00B04165" w:rsidP="00B04165">
      <w:pPr>
        <w:pStyle w:val="ListParagraph"/>
        <w:numPr>
          <w:ilvl w:val="0"/>
          <w:numId w:val="34"/>
        </w:numPr>
      </w:pPr>
      <w:r>
        <w:t>Team-oriented with a strong commitment to public service and a willingness to support colleagues and the Senator as required.</w:t>
      </w:r>
    </w:p>
    <w:p w14:paraId="63AE2B0F" w14:textId="77777777" w:rsidR="005B6AA2" w:rsidRDefault="005B6AA2" w:rsidP="00FE770C">
      <w:pPr>
        <w:pStyle w:val="ListParagraph"/>
        <w:numPr>
          <w:ilvl w:val="0"/>
          <w:numId w:val="34"/>
        </w:numPr>
      </w:pPr>
      <w:r>
        <w:t>Strong organisational and administrative skills, including attention to detail.</w:t>
      </w:r>
    </w:p>
    <w:p w14:paraId="30F20F11" w14:textId="77777777" w:rsidR="00522FFC" w:rsidRDefault="00522FFC" w:rsidP="00522FFC">
      <w:pPr>
        <w:pStyle w:val="ListParagraph"/>
        <w:numPr>
          <w:ilvl w:val="0"/>
          <w:numId w:val="34"/>
        </w:numPr>
      </w:pPr>
      <w:r>
        <w:t>Experience supporting community events or stakeholder engagement.</w:t>
      </w:r>
    </w:p>
    <w:p w14:paraId="1BC020F2" w14:textId="52A5B1D6" w:rsidR="005B6AA2" w:rsidRDefault="005B6AA2" w:rsidP="00FE770C">
      <w:pPr>
        <w:pStyle w:val="ListParagraph"/>
        <w:numPr>
          <w:ilvl w:val="0"/>
          <w:numId w:val="34"/>
        </w:numPr>
      </w:pPr>
      <w:r>
        <w:t>Experience working in a government, political, parliamentary, or community-based organisation</w:t>
      </w:r>
      <w:r w:rsidR="00A165A7">
        <w:t>, or familiarity with government services and referral pathways is desirable.</w:t>
      </w:r>
    </w:p>
    <w:p w14:paraId="019A4267" w14:textId="28FECC97" w:rsidR="008D1E22" w:rsidRPr="000451D2" w:rsidRDefault="008D1E22" w:rsidP="008D1E22">
      <w:r w:rsidRPr="000451D2">
        <w:rPr>
          <w:b/>
          <w:bCs/>
        </w:rPr>
        <w:lastRenderedPageBreak/>
        <w:t>Employment conditions:</w:t>
      </w:r>
      <w:r w:rsidRPr="000451D2">
        <w:t> </w:t>
      </w:r>
    </w:p>
    <w:p w14:paraId="15F2140E" w14:textId="77777777" w:rsidR="008D1E22" w:rsidRPr="000451D2" w:rsidRDefault="008D1E22" w:rsidP="008D1E22">
      <w:r w:rsidRPr="000451D2">
        <w:t xml:space="preserve">The position is offered under the </w:t>
      </w:r>
      <w:hyperlink r:id="rId10" w:tgtFrame="_blank" w:history="1">
        <w:r w:rsidRPr="008D1E22">
          <w:rPr>
            <w:rStyle w:val="Hyperlink"/>
            <w:color w:val="153D63" w:themeColor="text2" w:themeTint="E6"/>
          </w:rPr>
          <w:t>Members of Parliament (Staff) Act 1984</w:t>
        </w:r>
      </w:hyperlink>
      <w:r w:rsidRPr="000451D2">
        <w:t xml:space="preserve"> and conditions are outlined in the </w:t>
      </w:r>
      <w:hyperlink r:id="rId11" w:tgtFrame="_blank" w:history="1">
        <w:r w:rsidRPr="008D1E22">
          <w:rPr>
            <w:rStyle w:val="Hyperlink"/>
            <w:color w:val="153D63" w:themeColor="text2" w:themeTint="E6"/>
          </w:rPr>
          <w:t>Commonwealth Members of Parliament Staff Enterprise Agreement 2024-27</w:t>
        </w:r>
      </w:hyperlink>
      <w:r w:rsidRPr="000451D2">
        <w:t xml:space="preserve"> which include: </w:t>
      </w:r>
    </w:p>
    <w:p w14:paraId="02F81E21" w14:textId="56C9517C" w:rsidR="008D1E22" w:rsidRPr="000451D2" w:rsidRDefault="008D1E22" w:rsidP="008D1E22">
      <w:pPr>
        <w:numPr>
          <w:ilvl w:val="0"/>
          <w:numId w:val="21"/>
        </w:numPr>
      </w:pPr>
      <w:r w:rsidRPr="000451D2">
        <w:t xml:space="preserve">A commencing salary between </w:t>
      </w:r>
      <w:r w:rsidRPr="008A5815">
        <w:rPr>
          <w:b/>
          <w:bCs/>
        </w:rPr>
        <w:t>$</w:t>
      </w:r>
      <w:r w:rsidR="00E9396C" w:rsidRPr="008A5815">
        <w:rPr>
          <w:b/>
          <w:bCs/>
        </w:rPr>
        <w:t>7</w:t>
      </w:r>
      <w:r w:rsidR="00200FB7">
        <w:rPr>
          <w:b/>
          <w:bCs/>
        </w:rPr>
        <w:t>4,537</w:t>
      </w:r>
      <w:r w:rsidRPr="000451D2">
        <w:rPr>
          <w:b/>
          <w:bCs/>
        </w:rPr>
        <w:t xml:space="preserve"> </w:t>
      </w:r>
      <w:r w:rsidRPr="000451D2">
        <w:t xml:space="preserve">and </w:t>
      </w:r>
      <w:r w:rsidRPr="000451D2">
        <w:rPr>
          <w:b/>
          <w:bCs/>
        </w:rPr>
        <w:t>$</w:t>
      </w:r>
      <w:r w:rsidR="00200FB7">
        <w:rPr>
          <w:b/>
          <w:bCs/>
        </w:rPr>
        <w:t>78,911</w:t>
      </w:r>
      <w:r w:rsidRPr="000451D2">
        <w:t xml:space="preserve"> will be negotiated depending on experience and relevant skills. </w:t>
      </w:r>
    </w:p>
    <w:p w14:paraId="03A88A15" w14:textId="52FC5220" w:rsidR="008D1E22" w:rsidRPr="000451D2" w:rsidRDefault="008D1E22" w:rsidP="008D1E22">
      <w:pPr>
        <w:numPr>
          <w:ilvl w:val="0"/>
          <w:numId w:val="22"/>
        </w:numPr>
      </w:pPr>
      <w:r w:rsidRPr="000451D2">
        <w:t>An additional optional allowance may be considered in recognition of, and as compensation for, reasonable additional hours of work and any travel requirements.  </w:t>
      </w:r>
    </w:p>
    <w:p w14:paraId="73C5F84B" w14:textId="77777777" w:rsidR="008D1E22" w:rsidRPr="000451D2" w:rsidRDefault="008D1E22" w:rsidP="008D1E22">
      <w:pPr>
        <w:numPr>
          <w:ilvl w:val="0"/>
          <w:numId w:val="23"/>
        </w:numPr>
      </w:pPr>
      <w:r w:rsidRPr="000451D2">
        <w:t>Relocation assistance, studies assistance and paid study leave may also be available (subject to eligibility requirements). </w:t>
      </w:r>
    </w:p>
    <w:p w14:paraId="0CD35854" w14:textId="77777777" w:rsidR="008D1E22" w:rsidRPr="000451D2" w:rsidRDefault="008D1E22" w:rsidP="008D1E22">
      <w:pPr>
        <w:numPr>
          <w:ilvl w:val="0"/>
          <w:numId w:val="24"/>
        </w:numPr>
      </w:pPr>
      <w:r w:rsidRPr="000451D2">
        <w:t>An employer superannuation contribution of 15.4% will be payable. </w:t>
      </w:r>
    </w:p>
    <w:p w14:paraId="22F03D7F" w14:textId="77777777" w:rsidR="008D1E22" w:rsidRPr="000451D2" w:rsidRDefault="008D1E22" w:rsidP="008D1E22">
      <w:r w:rsidRPr="000451D2">
        <w:rPr>
          <w:b/>
          <w:bCs/>
        </w:rPr>
        <w:t>Applicants should note the following:</w:t>
      </w:r>
      <w:r w:rsidRPr="000451D2">
        <w:t> </w:t>
      </w:r>
    </w:p>
    <w:p w14:paraId="757406B4" w14:textId="77777777" w:rsidR="008D1E22" w:rsidRPr="000451D2" w:rsidRDefault="008D1E22" w:rsidP="008D1E22">
      <w:pPr>
        <w:numPr>
          <w:ilvl w:val="0"/>
          <w:numId w:val="25"/>
        </w:numPr>
      </w:pPr>
      <w:r w:rsidRPr="000451D2">
        <w:t xml:space="preserve">An initial probationary period of three months </w:t>
      </w:r>
      <w:r>
        <w:t>may</w:t>
      </w:r>
      <w:r w:rsidRPr="000451D2">
        <w:t xml:space="preserve"> apply and may be subject to extension. </w:t>
      </w:r>
    </w:p>
    <w:p w14:paraId="7F3211DC" w14:textId="77777777" w:rsidR="008D1E22" w:rsidRPr="000451D2" w:rsidRDefault="008D1E22" w:rsidP="008D1E22">
      <w:pPr>
        <w:numPr>
          <w:ilvl w:val="0"/>
          <w:numId w:val="26"/>
        </w:numPr>
      </w:pPr>
      <w:r w:rsidRPr="000451D2">
        <w:t>The successful applicant may be required to undergo a National Police History Check.  </w:t>
      </w:r>
    </w:p>
    <w:p w14:paraId="3EE42978" w14:textId="77777777" w:rsidR="008D1E22" w:rsidRPr="000451D2" w:rsidRDefault="008D1E22" w:rsidP="008D1E22">
      <w:pPr>
        <w:numPr>
          <w:ilvl w:val="0"/>
          <w:numId w:val="27"/>
        </w:numPr>
      </w:pPr>
      <w:r w:rsidRPr="000451D2">
        <w:t>Staff may be subject to automatic cessation triggers in accordance with Section 14 of the MOP(S) Act. </w:t>
      </w:r>
    </w:p>
    <w:p w14:paraId="5217C6DF" w14:textId="77777777" w:rsidR="008D1E22" w:rsidRPr="008D1E22" w:rsidRDefault="008D1E22" w:rsidP="008D1E22">
      <w:pPr>
        <w:numPr>
          <w:ilvl w:val="0"/>
          <w:numId w:val="28"/>
        </w:numPr>
        <w:rPr>
          <w:color w:val="153D63" w:themeColor="text2" w:themeTint="E6"/>
        </w:rPr>
      </w:pPr>
      <w:hyperlink r:id="rId12" w:tgtFrame="_blank" w:history="1">
        <w:r w:rsidRPr="008D1E22">
          <w:rPr>
            <w:rStyle w:val="Hyperlink"/>
            <w:color w:val="auto"/>
            <w:u w:val="none"/>
          </w:rPr>
          <w:t>The successful applicant will be required to comply with their obligations under the</w:t>
        </w:r>
        <w:r w:rsidRPr="000451D2">
          <w:rPr>
            <w:rStyle w:val="Hyperlink"/>
          </w:rPr>
          <w:t xml:space="preserve"> </w:t>
        </w:r>
      </w:hyperlink>
      <w:hyperlink r:id="rId13" w:tgtFrame="_blank" w:history="1">
        <w:r w:rsidRPr="008D1E22">
          <w:rPr>
            <w:rStyle w:val="Hyperlink"/>
            <w:color w:val="153D63" w:themeColor="text2" w:themeTint="E6"/>
          </w:rPr>
          <w:t>Behaviour Codes and Standards</w:t>
        </w:r>
      </w:hyperlink>
      <w:r w:rsidRPr="008D1E22">
        <w:rPr>
          <w:color w:val="153D63" w:themeColor="text2" w:themeTint="E6"/>
          <w:u w:val="single"/>
        </w:rPr>
        <w:t>.</w:t>
      </w:r>
      <w:r w:rsidRPr="008D1E22">
        <w:rPr>
          <w:color w:val="153D63" w:themeColor="text2" w:themeTint="E6"/>
        </w:rPr>
        <w:t> </w:t>
      </w:r>
    </w:p>
    <w:p w14:paraId="14938AE1" w14:textId="77777777" w:rsidR="008D1E22" w:rsidRPr="000451D2" w:rsidRDefault="008D1E22" w:rsidP="008D1E22">
      <w:r w:rsidRPr="000451D2">
        <w:rPr>
          <w:b/>
          <w:bCs/>
        </w:rPr>
        <w:t>How to apply</w:t>
      </w:r>
      <w:r w:rsidRPr="000451D2">
        <w:rPr>
          <w:rFonts w:ascii="Arial" w:hAnsi="Arial" w:cs="Arial"/>
          <w:b/>
          <w:bCs/>
        </w:rPr>
        <w:t> </w:t>
      </w:r>
      <w:r w:rsidRPr="000451D2">
        <w:rPr>
          <w:rFonts w:ascii="Arial" w:hAnsi="Arial" w:cs="Arial"/>
        </w:rPr>
        <w:t> </w:t>
      </w:r>
      <w:r w:rsidRPr="000451D2">
        <w:t> </w:t>
      </w:r>
    </w:p>
    <w:p w14:paraId="21A836E9" w14:textId="41784391" w:rsidR="00A6233E" w:rsidRPr="00A6233E" w:rsidRDefault="00FC2ED9" w:rsidP="00A6233E">
      <w:pPr>
        <w:suppressAutoHyphens w:val="0"/>
        <w:autoSpaceDE/>
        <w:autoSpaceDN/>
        <w:adjustRightInd/>
        <w:spacing w:before="0" w:after="0" w:line="240" w:lineRule="auto"/>
        <w:textAlignment w:val="auto"/>
        <w:rPr>
          <w:rFonts w:eastAsiaTheme="minorHAnsi"/>
          <w:lang w:eastAsia="en-AU"/>
          <w14:ligatures w14:val="none"/>
        </w:rPr>
      </w:pPr>
      <w:r w:rsidRPr="00FC2ED9">
        <w:rPr>
          <w:rFonts w:eastAsiaTheme="minorHAnsi"/>
          <w:lang w:eastAsia="en-AU"/>
          <w14:ligatures w14:val="none"/>
        </w:rPr>
        <w:t>Submit a CV with the names of two referees and a one-page (maximum) cover letter outlining your interest in this position, and demonstrating your skills, capabilities, knowledge and experience</w:t>
      </w:r>
      <w:r>
        <w:rPr>
          <w:rFonts w:eastAsiaTheme="minorHAnsi"/>
          <w:lang w:eastAsia="en-AU"/>
          <w14:ligatures w14:val="none"/>
        </w:rPr>
        <w:t xml:space="preserve"> to</w:t>
      </w:r>
      <w:r w:rsidR="00A6233E" w:rsidRPr="00A6233E">
        <w:rPr>
          <w:rFonts w:eastAsiaTheme="minorHAnsi"/>
          <w:lang w:eastAsia="en-AU"/>
          <w14:ligatures w14:val="none"/>
        </w:rPr>
        <w:t xml:space="preserve">: </w:t>
      </w:r>
      <w:hyperlink r:id="rId14" w:history="1">
        <w:r w:rsidR="00A6233E" w:rsidRPr="0079249A">
          <w:rPr>
            <w:rStyle w:val="Hyperlink"/>
            <w:rFonts w:eastAsiaTheme="minorHAnsi"/>
            <w:lang w:eastAsia="en-AU"/>
            <w14:ligatures w14:val="none"/>
          </w:rPr>
          <w:t>Senator.mckenzie@aph.gov.au</w:t>
        </w:r>
      </w:hyperlink>
    </w:p>
    <w:p w14:paraId="1144DE47" w14:textId="247061A1" w:rsidR="008D1E22" w:rsidRPr="00A6233E" w:rsidRDefault="008D1E22" w:rsidP="008D1E22">
      <w:pPr>
        <w:rPr>
          <w:b/>
          <w:bCs/>
        </w:rPr>
      </w:pPr>
      <w:r w:rsidRPr="00A6233E">
        <w:rPr>
          <w:b/>
          <w:bCs/>
        </w:rPr>
        <w:t xml:space="preserve">Applications close </w:t>
      </w:r>
      <w:r w:rsidR="00A6233E" w:rsidRPr="00A6233E">
        <w:rPr>
          <w:b/>
          <w:bCs/>
        </w:rPr>
        <w:t>Sunday, 12 July 2026</w:t>
      </w:r>
      <w:r w:rsidRPr="00A6233E">
        <w:rPr>
          <w:rFonts w:ascii="Arial" w:hAnsi="Arial" w:cs="Arial"/>
          <w:b/>
          <w:bCs/>
        </w:rPr>
        <w:t>​ </w:t>
      </w:r>
      <w:r w:rsidRPr="00A6233E">
        <w:rPr>
          <w:b/>
          <w:bCs/>
        </w:rPr>
        <w:t> </w:t>
      </w:r>
    </w:p>
    <w:p w14:paraId="1A1016BF" w14:textId="05E8E6D1" w:rsidR="008D1E22" w:rsidRPr="000451D2" w:rsidRDefault="008D1E22" w:rsidP="008D1E22">
      <w:r w:rsidRPr="000451D2">
        <w:t>Contact Officer</w:t>
      </w:r>
      <w:r w:rsidR="00A65461">
        <w:t xml:space="preserve">: </w:t>
      </w:r>
      <w:r>
        <w:tab/>
      </w:r>
      <w:r w:rsidR="00977949">
        <w:t>Simon Price</w:t>
      </w:r>
      <w:r w:rsidR="00A65461">
        <w:t xml:space="preserve"> 0455 191 517</w:t>
      </w:r>
    </w:p>
    <w:p w14:paraId="404C1ECB" w14:textId="77777777" w:rsidR="008D1E22" w:rsidRDefault="008D1E22"/>
    <w:sectPr w:rsidR="008D1E22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9F27" w14:textId="77777777" w:rsidR="00EA1B29" w:rsidRDefault="00EA1B29" w:rsidP="008D1E22">
      <w:pPr>
        <w:spacing w:before="0" w:after="0" w:line="240" w:lineRule="auto"/>
      </w:pPr>
      <w:r>
        <w:separator/>
      </w:r>
    </w:p>
  </w:endnote>
  <w:endnote w:type="continuationSeparator" w:id="0">
    <w:p w14:paraId="64D8D55E" w14:textId="77777777" w:rsidR="00EA1B29" w:rsidRDefault="00EA1B29" w:rsidP="008D1E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D9D9" w14:textId="64F0FE27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52F89C" wp14:editId="11A140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9482124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62544" w14:textId="78205148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2F8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3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" filled="f" stroked="f">
              <v:textbox style="mso-fit-shape-to-text:t" inset="0,0,0,15pt">
                <w:txbxContent>
                  <w:p w14:paraId="01962544" w14:textId="78205148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A6EB" w14:textId="08DA10A8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BDB9A6" wp14:editId="18C8EDFD">
              <wp:simplePos x="91440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80307746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76F4" w14:textId="2F683A34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DB9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6.2pt;height:3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tRJx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214B76F4" w14:textId="2F683A34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6C91" w14:textId="4F0AD1CB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1F37FA" wp14:editId="7E1483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3015754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CB6DE" w14:textId="2BB05B82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37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36.2pt;height:3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" filled="f" stroked="f">
              <v:textbox style="mso-fit-shape-to-text:t" inset="0,0,0,15pt">
                <w:txbxContent>
                  <w:p w14:paraId="7E6CB6DE" w14:textId="2BB05B82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6814" w14:textId="77777777" w:rsidR="00EA1B29" w:rsidRDefault="00EA1B29" w:rsidP="008D1E22">
      <w:pPr>
        <w:spacing w:before="0" w:after="0" w:line="240" w:lineRule="auto"/>
      </w:pPr>
      <w:r>
        <w:separator/>
      </w:r>
    </w:p>
  </w:footnote>
  <w:footnote w:type="continuationSeparator" w:id="0">
    <w:p w14:paraId="3B6C5540" w14:textId="77777777" w:rsidR="00EA1B29" w:rsidRDefault="00EA1B29" w:rsidP="008D1E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6F13" w14:textId="03F63070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ACE3B3" wp14:editId="0F435F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903208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D4183" w14:textId="53C6FDCA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CE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+XCgIAABU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" filled="f" stroked="f">
              <v:textbox style="mso-fit-shape-to-text:t" inset="0,15pt,0,0">
                <w:txbxContent>
                  <w:p w14:paraId="09FD4183" w14:textId="53C6FDCA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9DC9" w14:textId="5CB17046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2D1BBA" wp14:editId="735F67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670540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CCF4D" w14:textId="75A9ACC3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1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6.2pt;height:3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" filled="f" stroked="f">
              <v:textbox style="mso-fit-shape-to-text:t" inset="0,15pt,0,0">
                <w:txbxContent>
                  <w:p w14:paraId="58FCCF4D" w14:textId="75A9ACC3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EBF"/>
    <w:multiLevelType w:val="hybridMultilevel"/>
    <w:tmpl w:val="99CE0ABA"/>
    <w:lvl w:ilvl="0" w:tplc="B086AF04">
      <w:numFmt w:val="bullet"/>
      <w:lvlText w:val="-"/>
      <w:lvlJc w:val="left"/>
      <w:pPr>
        <w:ind w:left="720" w:hanging="360"/>
      </w:pPr>
      <w:rPr>
        <w:rFonts w:ascii="Aptos" w:eastAsiaTheme="minorEastAsia" w:hAnsi="Aptos" w:cs="Apto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4724"/>
    <w:multiLevelType w:val="hybridMultilevel"/>
    <w:tmpl w:val="04D0E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162"/>
    <w:multiLevelType w:val="multilevel"/>
    <w:tmpl w:val="DEB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7778F"/>
    <w:multiLevelType w:val="multilevel"/>
    <w:tmpl w:val="ECD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D6963"/>
    <w:multiLevelType w:val="multilevel"/>
    <w:tmpl w:val="A57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25325A"/>
    <w:multiLevelType w:val="multilevel"/>
    <w:tmpl w:val="BA0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2B1154"/>
    <w:multiLevelType w:val="multilevel"/>
    <w:tmpl w:val="E24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2A1EE7"/>
    <w:multiLevelType w:val="multilevel"/>
    <w:tmpl w:val="52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1E2C60"/>
    <w:multiLevelType w:val="multilevel"/>
    <w:tmpl w:val="584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E0AA6"/>
    <w:multiLevelType w:val="multilevel"/>
    <w:tmpl w:val="50A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40C08"/>
    <w:multiLevelType w:val="hybridMultilevel"/>
    <w:tmpl w:val="399EE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6B4E"/>
    <w:multiLevelType w:val="multilevel"/>
    <w:tmpl w:val="A5B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572BF9"/>
    <w:multiLevelType w:val="multilevel"/>
    <w:tmpl w:val="54C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B3DF5"/>
    <w:multiLevelType w:val="multilevel"/>
    <w:tmpl w:val="5B6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6A3F1D"/>
    <w:multiLevelType w:val="multilevel"/>
    <w:tmpl w:val="1DB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5601D7"/>
    <w:multiLevelType w:val="multilevel"/>
    <w:tmpl w:val="6B7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280A3A"/>
    <w:multiLevelType w:val="multilevel"/>
    <w:tmpl w:val="FF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6B3614"/>
    <w:multiLevelType w:val="multilevel"/>
    <w:tmpl w:val="945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E042B0"/>
    <w:multiLevelType w:val="multilevel"/>
    <w:tmpl w:val="12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081665"/>
    <w:multiLevelType w:val="multilevel"/>
    <w:tmpl w:val="AAB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703339"/>
    <w:multiLevelType w:val="multilevel"/>
    <w:tmpl w:val="88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BD1030"/>
    <w:multiLevelType w:val="multilevel"/>
    <w:tmpl w:val="5DB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B80BD7"/>
    <w:multiLevelType w:val="hybridMultilevel"/>
    <w:tmpl w:val="F2A40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E519E"/>
    <w:multiLevelType w:val="multilevel"/>
    <w:tmpl w:val="AA8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74002D"/>
    <w:multiLevelType w:val="multilevel"/>
    <w:tmpl w:val="C7F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3157CD"/>
    <w:multiLevelType w:val="multilevel"/>
    <w:tmpl w:val="529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AD24A3"/>
    <w:multiLevelType w:val="multilevel"/>
    <w:tmpl w:val="64C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02391A"/>
    <w:multiLevelType w:val="multilevel"/>
    <w:tmpl w:val="D1D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EC0D27"/>
    <w:multiLevelType w:val="multilevel"/>
    <w:tmpl w:val="9D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C34DE4"/>
    <w:multiLevelType w:val="multilevel"/>
    <w:tmpl w:val="C52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EF07AD"/>
    <w:multiLevelType w:val="multilevel"/>
    <w:tmpl w:val="465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401FD0"/>
    <w:multiLevelType w:val="multilevel"/>
    <w:tmpl w:val="298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125A97"/>
    <w:multiLevelType w:val="hybridMultilevel"/>
    <w:tmpl w:val="2FE24654"/>
    <w:lvl w:ilvl="0" w:tplc="B086AF04">
      <w:numFmt w:val="bullet"/>
      <w:lvlText w:val="-"/>
      <w:lvlJc w:val="left"/>
      <w:pPr>
        <w:ind w:left="1080" w:hanging="360"/>
      </w:pPr>
      <w:rPr>
        <w:rFonts w:ascii="Aptos" w:eastAsiaTheme="minorEastAsia" w:hAnsi="Aptos" w:cs="Apto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D873B2"/>
    <w:multiLevelType w:val="multilevel"/>
    <w:tmpl w:val="7EA8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592665">
    <w:abstractNumId w:val="14"/>
  </w:num>
  <w:num w:numId="2" w16cid:durableId="1368261891">
    <w:abstractNumId w:val="12"/>
  </w:num>
  <w:num w:numId="3" w16cid:durableId="2093117888">
    <w:abstractNumId w:val="4"/>
  </w:num>
  <w:num w:numId="4" w16cid:durableId="1092048076">
    <w:abstractNumId w:val="21"/>
  </w:num>
  <w:num w:numId="5" w16cid:durableId="918756002">
    <w:abstractNumId w:val="23"/>
  </w:num>
  <w:num w:numId="6" w16cid:durableId="1114209242">
    <w:abstractNumId w:val="16"/>
  </w:num>
  <w:num w:numId="7" w16cid:durableId="913128294">
    <w:abstractNumId w:val="29"/>
  </w:num>
  <w:num w:numId="8" w16cid:durableId="435753176">
    <w:abstractNumId w:val="8"/>
  </w:num>
  <w:num w:numId="9" w16cid:durableId="1891306088">
    <w:abstractNumId w:val="6"/>
  </w:num>
  <w:num w:numId="10" w16cid:durableId="126973088">
    <w:abstractNumId w:val="31"/>
  </w:num>
  <w:num w:numId="11" w16cid:durableId="953830203">
    <w:abstractNumId w:val="7"/>
  </w:num>
  <w:num w:numId="12" w16cid:durableId="2056345730">
    <w:abstractNumId w:val="30"/>
  </w:num>
  <w:num w:numId="13" w16cid:durableId="2109081759">
    <w:abstractNumId w:val="28"/>
  </w:num>
  <w:num w:numId="14" w16cid:durableId="475611716">
    <w:abstractNumId w:val="18"/>
  </w:num>
  <w:num w:numId="15" w16cid:durableId="1459642391">
    <w:abstractNumId w:val="27"/>
  </w:num>
  <w:num w:numId="16" w16cid:durableId="1090732714">
    <w:abstractNumId w:val="11"/>
  </w:num>
  <w:num w:numId="17" w16cid:durableId="2104297065">
    <w:abstractNumId w:val="2"/>
  </w:num>
  <w:num w:numId="18" w16cid:durableId="1825655527">
    <w:abstractNumId w:val="13"/>
  </w:num>
  <w:num w:numId="19" w16cid:durableId="897278106">
    <w:abstractNumId w:val="17"/>
  </w:num>
  <w:num w:numId="20" w16cid:durableId="1574464822">
    <w:abstractNumId w:val="33"/>
  </w:num>
  <w:num w:numId="21" w16cid:durableId="1546526674">
    <w:abstractNumId w:val="5"/>
  </w:num>
  <w:num w:numId="22" w16cid:durableId="770049515">
    <w:abstractNumId w:val="19"/>
  </w:num>
  <w:num w:numId="23" w16cid:durableId="1063525809">
    <w:abstractNumId w:val="20"/>
  </w:num>
  <w:num w:numId="24" w16cid:durableId="264579852">
    <w:abstractNumId w:val="15"/>
  </w:num>
  <w:num w:numId="25" w16cid:durableId="1624456739">
    <w:abstractNumId w:val="26"/>
  </w:num>
  <w:num w:numId="26" w16cid:durableId="2442283">
    <w:abstractNumId w:val="25"/>
  </w:num>
  <w:num w:numId="27" w16cid:durableId="1108623102">
    <w:abstractNumId w:val="24"/>
  </w:num>
  <w:num w:numId="28" w16cid:durableId="1565606767">
    <w:abstractNumId w:val="9"/>
  </w:num>
  <w:num w:numId="29" w16cid:durableId="954755894">
    <w:abstractNumId w:val="3"/>
  </w:num>
  <w:num w:numId="30" w16cid:durableId="1494176418">
    <w:abstractNumId w:val="0"/>
  </w:num>
  <w:num w:numId="31" w16cid:durableId="503860125">
    <w:abstractNumId w:val="32"/>
  </w:num>
  <w:num w:numId="32" w16cid:durableId="1289628291">
    <w:abstractNumId w:val="10"/>
  </w:num>
  <w:num w:numId="33" w16cid:durableId="334841228">
    <w:abstractNumId w:val="22"/>
  </w:num>
  <w:num w:numId="34" w16cid:durableId="119715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22"/>
    <w:rsid w:val="000412EC"/>
    <w:rsid w:val="00042756"/>
    <w:rsid w:val="000D5ECF"/>
    <w:rsid w:val="00112A18"/>
    <w:rsid w:val="0017111F"/>
    <w:rsid w:val="00180572"/>
    <w:rsid w:val="001D0B2A"/>
    <w:rsid w:val="00200FB7"/>
    <w:rsid w:val="00202BAC"/>
    <w:rsid w:val="00245BA3"/>
    <w:rsid w:val="00297615"/>
    <w:rsid w:val="002C5AB5"/>
    <w:rsid w:val="00332965"/>
    <w:rsid w:val="003A37C4"/>
    <w:rsid w:val="0041509E"/>
    <w:rsid w:val="004304EA"/>
    <w:rsid w:val="004B0C60"/>
    <w:rsid w:val="004B618F"/>
    <w:rsid w:val="004C4CE1"/>
    <w:rsid w:val="004C735B"/>
    <w:rsid w:val="00505C3D"/>
    <w:rsid w:val="00522FFC"/>
    <w:rsid w:val="00576731"/>
    <w:rsid w:val="00577E38"/>
    <w:rsid w:val="00587A83"/>
    <w:rsid w:val="00596ADA"/>
    <w:rsid w:val="005A7061"/>
    <w:rsid w:val="005B6AA2"/>
    <w:rsid w:val="005B7984"/>
    <w:rsid w:val="005D0216"/>
    <w:rsid w:val="005F3C72"/>
    <w:rsid w:val="00686C36"/>
    <w:rsid w:val="006B2ABC"/>
    <w:rsid w:val="006D10AB"/>
    <w:rsid w:val="006D574B"/>
    <w:rsid w:val="007A09B3"/>
    <w:rsid w:val="007A40AB"/>
    <w:rsid w:val="007A782C"/>
    <w:rsid w:val="0080081C"/>
    <w:rsid w:val="00832CD0"/>
    <w:rsid w:val="00871FB7"/>
    <w:rsid w:val="00884136"/>
    <w:rsid w:val="008A5815"/>
    <w:rsid w:val="008C0208"/>
    <w:rsid w:val="008C7F94"/>
    <w:rsid w:val="008D1E22"/>
    <w:rsid w:val="009157EB"/>
    <w:rsid w:val="00922C2E"/>
    <w:rsid w:val="00977949"/>
    <w:rsid w:val="009833DD"/>
    <w:rsid w:val="009B2A1E"/>
    <w:rsid w:val="009F484A"/>
    <w:rsid w:val="00A165A7"/>
    <w:rsid w:val="00A2330D"/>
    <w:rsid w:val="00A307BB"/>
    <w:rsid w:val="00A45C3B"/>
    <w:rsid w:val="00A6233E"/>
    <w:rsid w:val="00A65461"/>
    <w:rsid w:val="00AB75A6"/>
    <w:rsid w:val="00B04165"/>
    <w:rsid w:val="00B235F1"/>
    <w:rsid w:val="00B31577"/>
    <w:rsid w:val="00B376CE"/>
    <w:rsid w:val="00B80A3F"/>
    <w:rsid w:val="00B91B84"/>
    <w:rsid w:val="00BA43D9"/>
    <w:rsid w:val="00BE5449"/>
    <w:rsid w:val="00BF5279"/>
    <w:rsid w:val="00C12F3A"/>
    <w:rsid w:val="00C47100"/>
    <w:rsid w:val="00C527FF"/>
    <w:rsid w:val="00C816C9"/>
    <w:rsid w:val="00C862F2"/>
    <w:rsid w:val="00C978F3"/>
    <w:rsid w:val="00CD1F6F"/>
    <w:rsid w:val="00D93E10"/>
    <w:rsid w:val="00DE193F"/>
    <w:rsid w:val="00E02433"/>
    <w:rsid w:val="00E260ED"/>
    <w:rsid w:val="00E74FE4"/>
    <w:rsid w:val="00E77703"/>
    <w:rsid w:val="00E9396C"/>
    <w:rsid w:val="00EA1B29"/>
    <w:rsid w:val="00EB7DE7"/>
    <w:rsid w:val="00EF7846"/>
    <w:rsid w:val="00F20F12"/>
    <w:rsid w:val="00F7191C"/>
    <w:rsid w:val="00F74EAE"/>
    <w:rsid w:val="00FB1C05"/>
    <w:rsid w:val="00FC2ED9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9B362"/>
  <w15:chartTrackingRefBased/>
  <w15:docId w15:val="{CCC510C0-656D-4959-80BD-24325915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8D1E22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PWSS Heading 2"/>
    <w:basedOn w:val="Normal"/>
    <w:next w:val="Normal"/>
    <w:link w:val="Heading2Char"/>
    <w:uiPriority w:val="9"/>
    <w:unhideWhenUsed/>
    <w:qFormat/>
    <w:rsid w:val="008D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PWSS Heading 2 Char"/>
    <w:basedOn w:val="DefaultParagraphFont"/>
    <w:link w:val="Heading2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1E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A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8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A5815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815"/>
    <w:rPr>
      <w:rFonts w:ascii="Aptos" w:eastAsiaTheme="minorEastAsia" w:hAnsi="Aptos" w:cs="Aptos"/>
      <w:b/>
      <w:bCs/>
      <w:color w:val="000000"/>
      <w:kern w:val="0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62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psc.gov.au/behaviour-codes-and-standard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nator.mckenzie@ap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03db1b2b16f6f7ed5ad1e0ab37bf90a9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5976beb6d8183ca62b7b7323fab072d9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D2399-9128-4601-A986-260F0AEF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33C8B-F77D-40A8-8BC9-7A1B26E0C507}">
  <ds:schemaRefs>
    <ds:schemaRef ds:uri="http://schemas.microsoft.com/office/2006/metadata/properties"/>
    <ds:schemaRef ds:uri="http://schemas.microsoft.com/office/infopath/2007/PartnerControls"/>
    <ds:schemaRef ds:uri="01a30d40-da84-4c8e-848d-61af2c5e1ab3"/>
    <ds:schemaRef ds:uri="5bbe23e6-87c4-42f3-bf4a-e7efb896fc26"/>
  </ds:schemaRefs>
</ds:datastoreItem>
</file>

<file path=customXml/itemProps3.xml><?xml version="1.0" encoding="utf-8"?>
<ds:datastoreItem xmlns:ds="http://schemas.openxmlformats.org/officeDocument/2006/customXml" ds:itemID="{2AEDE4A5-F90F-4349-8517-4907624BB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4940</Characters>
  <Application>Microsoft Office Word</Application>
  <DocSecurity>4</DocSecurity>
  <Lines>41</Lines>
  <Paragraphs>11</Paragraphs>
  <ScaleCrop>false</ScaleCrop>
  <Company>Parliament of Australia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Mitchell (PWSS)</dc:creator>
  <cp:keywords/>
  <dc:description/>
  <cp:lastModifiedBy>Cate Caldwell (PWSS)</cp:lastModifiedBy>
  <cp:revision>2</cp:revision>
  <dcterms:created xsi:type="dcterms:W3CDTF">2026-06-29T01:34:00Z</dcterms:created>
  <dcterms:modified xsi:type="dcterms:W3CDTF">2026-06-29T01:34:00Z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0x01010082034027855EAE4CB12427D9AA2481A5</vt:lpwstr>
  </property>
  <property fmtid="{D5CDD505-2E9C-101B-9397-08002B2CF9AE}" pid="3" name="ClassificationContentMarkingHeaderShapeIds">
    <vt:lpwstr>5d675906,5eca5eed,77c09e2a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4d94771d,741f5cc3,6b78c758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62048f54-0609-4a39-bdb0-6891a18f7963_Enabled">
    <vt:lpwstr>true</vt:lpwstr>
  </property>
  <property fmtid="{D5CDD505-2E9C-101B-9397-08002B2CF9AE}" pid="10" name="MSIP_Label_62048f54-0609-4a39-bdb0-6891a18f7963_SetDate">
    <vt:lpwstr>2025-06-06T05:29:51Z</vt:lpwstr>
  </property>
  <property fmtid="{D5CDD505-2E9C-101B-9397-08002B2CF9AE}" pid="11" name="MSIP_Label_62048f54-0609-4a39-bdb0-6891a18f7963_Method">
    <vt:lpwstr>Privileged</vt:lpwstr>
  </property>
  <property fmtid="{D5CDD505-2E9C-101B-9397-08002B2CF9AE}" pid="12" name="MSIP_Label_62048f54-0609-4a39-bdb0-6891a18f7963_Name">
    <vt:lpwstr>OFFICIAL</vt:lpwstr>
  </property>
  <property fmtid="{D5CDD505-2E9C-101B-9397-08002B2CF9AE}" pid="13" name="MSIP_Label_62048f54-0609-4a39-bdb0-6891a18f7963_SiteId">
    <vt:lpwstr>61d1f0cf-a64b-49f3-8967-d7f3244587e7</vt:lpwstr>
  </property>
  <property fmtid="{D5CDD505-2E9C-101B-9397-08002B2CF9AE}" pid="14" name="MSIP_Label_62048f54-0609-4a39-bdb0-6891a18f7963_ActionId">
    <vt:lpwstr>0bbc7883-f5a5-4dcf-b647-60afabfe258e</vt:lpwstr>
  </property>
  <property fmtid="{D5CDD505-2E9C-101B-9397-08002B2CF9AE}" pid="15" name="MSIP_Label_62048f54-0609-4a39-bdb0-6891a18f7963_ContentBits">
    <vt:lpwstr>3</vt:lpwstr>
  </property>
  <property fmtid="{D5CDD505-2E9C-101B-9397-08002B2CF9AE}" pid="16" name="MSIP_Label_62048f54-0609-4a39-bdb0-6891a18f7963_Tag">
    <vt:lpwstr>10, 0, 1, 1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